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54AB" w:rsidRPr="005C54AB" w:rsidRDefault="005C54AB" w:rsidP="005C54AB">
      <w:pPr>
        <w:outlineLvl w:val="2"/>
        <w:rPr>
          <w:rFonts w:ascii="OpenSansBold" w:eastAsia="Times New Roman" w:hAnsi="OpenSansBold" w:cs="Arial"/>
          <w:color w:val="000000"/>
          <w:sz w:val="30"/>
          <w:szCs w:val="30"/>
          <w:lang w:eastAsia="de-DE"/>
        </w:rPr>
      </w:pPr>
      <w:r w:rsidRPr="005C54AB">
        <w:rPr>
          <w:rFonts w:ascii="OpenSansBold" w:eastAsia="Times New Roman" w:hAnsi="OpenSansBold" w:cs="Arial"/>
          <w:color w:val="000000"/>
          <w:sz w:val="30"/>
          <w:szCs w:val="30"/>
          <w:lang w:eastAsia="de-DE"/>
        </w:rPr>
        <w:fldChar w:fldCharType="begin"/>
      </w:r>
      <w:r w:rsidRPr="005C54AB">
        <w:rPr>
          <w:rFonts w:ascii="OpenSansBold" w:eastAsia="Times New Roman" w:hAnsi="OpenSansBold" w:cs="Arial"/>
          <w:color w:val="000000"/>
          <w:sz w:val="30"/>
          <w:szCs w:val="30"/>
          <w:lang w:eastAsia="de-DE"/>
        </w:rPr>
        <w:instrText xml:space="preserve"> HYPERLINK "http://www.baak.de/experten-info/normen" </w:instrText>
      </w:r>
      <w:r w:rsidRPr="005C54AB">
        <w:rPr>
          <w:rFonts w:ascii="OpenSansBold" w:eastAsia="Times New Roman" w:hAnsi="OpenSansBold" w:cs="Arial"/>
          <w:color w:val="000000"/>
          <w:sz w:val="30"/>
          <w:szCs w:val="30"/>
          <w:lang w:eastAsia="de-DE"/>
        </w:rPr>
        <w:fldChar w:fldCharType="separate"/>
      </w:r>
      <w:r w:rsidRPr="005C54AB">
        <w:rPr>
          <w:rFonts w:ascii="Times New Roman" w:eastAsia="Times New Roman" w:hAnsi="Times New Roman" w:cs="Arial"/>
          <w:color w:val="428BCA"/>
          <w:sz w:val="30"/>
          <w:szCs w:val="30"/>
          <w:lang w:eastAsia="de-DE"/>
        </w:rPr>
        <w:t>Normen</w:t>
      </w:r>
      <w:r w:rsidRPr="005C54AB">
        <w:rPr>
          <w:rFonts w:ascii="OpenSansBold" w:eastAsia="Times New Roman" w:hAnsi="OpenSansBold" w:cs="Arial"/>
          <w:color w:val="000000"/>
          <w:sz w:val="30"/>
          <w:szCs w:val="30"/>
          <w:lang w:eastAsia="de-DE"/>
        </w:rPr>
        <w:fldChar w:fldCharType="end"/>
      </w:r>
      <w:r w:rsidRPr="005C54AB">
        <w:rPr>
          <w:rFonts w:ascii="OpenSansBold" w:eastAsia="Times New Roman" w:hAnsi="OpenSansBold" w:cs="Arial"/>
          <w:color w:val="000000"/>
          <w:sz w:val="30"/>
          <w:szCs w:val="30"/>
          <w:lang w:eastAsia="de-DE"/>
        </w:rPr>
        <w:t xml:space="preserve"> </w:t>
      </w:r>
    </w:p>
    <w:p w:rsidR="005C54AB" w:rsidRPr="005C54AB" w:rsidRDefault="005C54AB" w:rsidP="005C54AB">
      <w:pPr>
        <w:spacing w:after="150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Sicherheitsschuhe werden nach der EN 20345:2011 geprüft und zertifiziert.</w:t>
      </w: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br/>
        <w:t>In der EN 20345:2011 sind die Anforderungen an Sicherheitsschuhe definiert und in Grundanforderungen und Zusatzanforderungen unterteilt.</w:t>
      </w: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br/>
        <w:t>Beispiele für Grundanforderungen an Sicherheitsschuhe sind:</w:t>
      </w:r>
    </w:p>
    <w:p w:rsidR="005C54AB" w:rsidRPr="005C54AB" w:rsidRDefault="005C54AB" w:rsidP="005C54AB">
      <w:pPr>
        <w:spacing w:after="225"/>
        <w:outlineLvl w:val="2"/>
        <w:rPr>
          <w:rFonts w:ascii="OpenSansBold" w:eastAsia="Times New Roman" w:hAnsi="OpenSansBold" w:cs="Arial"/>
          <w:color w:val="000000"/>
          <w:sz w:val="24"/>
          <w:szCs w:val="24"/>
          <w:lang w:eastAsia="de-DE"/>
        </w:rPr>
      </w:pPr>
      <w:r w:rsidRPr="005C54AB">
        <w:rPr>
          <w:rFonts w:ascii="OpenSansBold" w:eastAsia="Times New Roman" w:hAnsi="OpenSansBold" w:cs="Arial"/>
          <w:color w:val="000000"/>
          <w:sz w:val="24"/>
          <w:szCs w:val="24"/>
          <w:lang w:eastAsia="de-DE"/>
        </w:rPr>
        <w:t>Konstruktion</w:t>
      </w:r>
    </w:p>
    <w:p w:rsidR="005C54AB" w:rsidRPr="005C54AB" w:rsidRDefault="005C54AB" w:rsidP="005C54AB">
      <w:pPr>
        <w:spacing w:after="150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Wenn der Schuh eine Brandsohle hat, muss sie so eingearbeitet sein, dass sie nicht herausgenommen werden kann, ohne dass der Schuh dabei beschädigt wird.</w:t>
      </w:r>
    </w:p>
    <w:p w:rsidR="005C54AB" w:rsidRPr="005C54AB" w:rsidRDefault="005C54AB" w:rsidP="005C54AB">
      <w:pPr>
        <w:spacing w:after="225"/>
        <w:outlineLvl w:val="2"/>
        <w:rPr>
          <w:rFonts w:ascii="OpenSansBold" w:eastAsia="Times New Roman" w:hAnsi="OpenSansBold" w:cs="Arial"/>
          <w:color w:val="000000"/>
          <w:sz w:val="24"/>
          <w:szCs w:val="24"/>
          <w:lang w:eastAsia="de-DE"/>
        </w:rPr>
      </w:pPr>
      <w:r w:rsidRPr="005C54AB">
        <w:rPr>
          <w:rFonts w:ascii="OpenSansBold" w:eastAsia="Times New Roman" w:hAnsi="OpenSansBold" w:cs="Arial"/>
          <w:color w:val="000000"/>
          <w:sz w:val="24"/>
          <w:szCs w:val="24"/>
          <w:lang w:eastAsia="de-DE"/>
        </w:rPr>
        <w:t>Zehenschutz</w:t>
      </w:r>
    </w:p>
    <w:p w:rsidR="005C54AB" w:rsidRPr="005C54AB" w:rsidRDefault="005C54AB" w:rsidP="005C54AB">
      <w:pPr>
        <w:numPr>
          <w:ilvl w:val="0"/>
          <w:numId w:val="1"/>
        </w:numPr>
        <w:spacing w:before="100" w:beforeAutospacing="1" w:after="100" w:afterAutospacing="1"/>
        <w:ind w:left="495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Sicherheits- oder Zehenschutzkappen müssen so in den Schuh eingearbeitet sein, dass sie nicht herausgenommen werden können, ohne dass der Schuh dabei beschädigt wird.</w:t>
      </w:r>
    </w:p>
    <w:p w:rsidR="005C54AB" w:rsidRPr="005C54AB" w:rsidRDefault="005C54AB" w:rsidP="005C54AB">
      <w:pPr>
        <w:numPr>
          <w:ilvl w:val="0"/>
          <w:numId w:val="1"/>
        </w:numPr>
        <w:spacing w:before="100" w:beforeAutospacing="1" w:after="100" w:afterAutospacing="1"/>
        <w:ind w:left="495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Die Zehenschutzkappe muss mit einer Kantenabdeckung versehen sein, die mind. 5 mm unter die Zehenkappe und mind. 10 mm in die entgegengesetzte Richtung reicht.</w:t>
      </w:r>
    </w:p>
    <w:p w:rsidR="005C54AB" w:rsidRPr="005C54AB" w:rsidRDefault="005C54AB" w:rsidP="005C54AB">
      <w:pPr>
        <w:numPr>
          <w:ilvl w:val="0"/>
          <w:numId w:val="1"/>
        </w:numPr>
        <w:spacing w:before="100" w:beforeAutospacing="1" w:after="100" w:afterAutospacing="1"/>
        <w:ind w:left="495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Die Innenlänge der Zehenkappe darf einen vorgeschriebenen Wert nicht unterschreiten (bei Gr. 42 39mm).</w:t>
      </w:r>
    </w:p>
    <w:p w:rsidR="005C54AB" w:rsidRPr="005C54AB" w:rsidRDefault="005C54AB" w:rsidP="005C54AB">
      <w:pPr>
        <w:numPr>
          <w:ilvl w:val="0"/>
          <w:numId w:val="1"/>
        </w:numPr>
        <w:spacing w:before="100" w:beforeAutospacing="1" w:after="100" w:afterAutospacing="1"/>
        <w:ind w:left="495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Widerstand gegen Stoßeinwirkung von 200 Joule</w:t>
      </w:r>
    </w:p>
    <w:p w:rsidR="005C54AB" w:rsidRPr="005C54AB" w:rsidRDefault="005C54AB" w:rsidP="005C54AB">
      <w:pPr>
        <w:spacing w:after="225"/>
        <w:outlineLvl w:val="2"/>
        <w:rPr>
          <w:rFonts w:ascii="OpenSansBold" w:eastAsia="Times New Roman" w:hAnsi="OpenSansBold" w:cs="Arial"/>
          <w:color w:val="000000"/>
          <w:sz w:val="24"/>
          <w:szCs w:val="24"/>
          <w:lang w:eastAsia="de-DE"/>
        </w:rPr>
      </w:pPr>
      <w:r w:rsidRPr="005C54AB">
        <w:rPr>
          <w:rFonts w:ascii="OpenSansBold" w:eastAsia="Times New Roman" w:hAnsi="OpenSansBold" w:cs="Arial"/>
          <w:color w:val="000000"/>
          <w:sz w:val="24"/>
          <w:szCs w:val="24"/>
          <w:lang w:eastAsia="de-DE"/>
        </w:rPr>
        <w:t>Spezifische ergonomische Merkmale</w:t>
      </w:r>
    </w:p>
    <w:p w:rsidR="005C54AB" w:rsidRPr="005C54AB" w:rsidRDefault="005C54AB" w:rsidP="005C54AB">
      <w:pPr>
        <w:spacing w:after="150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Die spezifischen ergonomischen Merkmale müssen anhand von Trageversuchen mit 3 Probanden und 3 unterschiedlichen Fußgrößen positiv bewertet werden. Während des Tragens werden typische Tätigkeiten simuliert, die beim Gebrauch zu erwarten sind:</w:t>
      </w:r>
    </w:p>
    <w:p w:rsidR="005C54AB" w:rsidRPr="005C54AB" w:rsidRDefault="005C54AB" w:rsidP="005C54AB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normales Gehen</w:t>
      </w:r>
    </w:p>
    <w:p w:rsidR="005C54AB" w:rsidRPr="005C54AB" w:rsidRDefault="005C54AB" w:rsidP="005C54AB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Hinauf- u. Hinabsteigen von Treppenstufen, 1min. lang</w:t>
      </w:r>
    </w:p>
    <w:p w:rsidR="005C54AB" w:rsidRPr="005C54AB" w:rsidRDefault="005C54AB" w:rsidP="005C54AB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Hinknien/ Kauern</w:t>
      </w:r>
    </w:p>
    <w:p w:rsidR="005C54AB" w:rsidRPr="005C54AB" w:rsidRDefault="005C54AB" w:rsidP="005C54AB">
      <w:pPr>
        <w:spacing w:after="225"/>
        <w:outlineLvl w:val="2"/>
        <w:rPr>
          <w:rFonts w:ascii="OpenSansBold" w:eastAsia="Times New Roman" w:hAnsi="OpenSansBold" w:cs="Arial"/>
          <w:color w:val="000000"/>
          <w:sz w:val="24"/>
          <w:szCs w:val="24"/>
          <w:lang w:eastAsia="de-DE"/>
        </w:rPr>
      </w:pPr>
      <w:r w:rsidRPr="005C54AB">
        <w:rPr>
          <w:rFonts w:ascii="OpenSansBold" w:eastAsia="Times New Roman" w:hAnsi="OpenSansBold" w:cs="Arial"/>
          <w:color w:val="000000"/>
          <w:sz w:val="24"/>
          <w:szCs w:val="24"/>
          <w:lang w:eastAsia="de-DE"/>
        </w:rPr>
        <w:t>Rutschhemmung</w:t>
      </w:r>
    </w:p>
    <w:p w:rsidR="005C54AB" w:rsidRPr="005C54AB" w:rsidRDefault="005C54AB" w:rsidP="005C54AB">
      <w:pPr>
        <w:spacing w:after="150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Der zu prüfende Schuh wird auf die Bodenfläche gestellt, mit einer gegebenen Vertikalkraft belastet und horizontal gegenüber der Bodenfläche bewegt (oder die Bodenfläche wird horizontal gegenüber dem Schuh bewegt).</w:t>
      </w: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br/>
        <w:t>Die Reibungskraft wird gemessen und der dynamische Reibungskoeffizient berechnet.</w:t>
      </w:r>
    </w:p>
    <w:p w:rsidR="005C54AB" w:rsidRPr="005C54AB" w:rsidRDefault="005C54AB" w:rsidP="005C54AB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Reinigungsmittel auf Keramikfliese = SRA</w:t>
      </w:r>
    </w:p>
    <w:p w:rsidR="005C54AB" w:rsidRPr="005C54AB" w:rsidRDefault="005C54AB" w:rsidP="005C54AB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Glycerin auf Stahlboden = SRB</w:t>
      </w:r>
    </w:p>
    <w:p w:rsidR="005C54AB" w:rsidRPr="005C54AB" w:rsidRDefault="005C54AB" w:rsidP="005C54AB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>beide Tests bestanden = SRC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5594"/>
        <w:gridCol w:w="2654"/>
      </w:tblGrid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  <w:t>Symbol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  <w:t>Erfordernis/Eigenschaft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  <w:t>Erforderlicher Schutz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Durchtrittsicherheit der Laufsohle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↑ 1100 N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Energieaufnahme im Fersenbereich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↑ 20 Joule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Antistatischer Schuh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Zwischen 0,1 und 1000 Ω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Leitfähige Schuhe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↓ 0.1 MΩ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lastRenderedPageBreak/>
              <w:t>WR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Wasserdichtheit des gesamten Schuhes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 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WRU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Wasserdurchtritt u. –</w:t>
            </w:r>
            <w:proofErr w:type="spellStart"/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aufnahme</w:t>
            </w:r>
            <w:proofErr w:type="spellEnd"/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 xml:space="preserve"> des Obermateriales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↑ 60 min.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HI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Wärmeisolierung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Test bei 150 °C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CI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Kälteisolierung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Test bei -20 °C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HRO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Verhalten gegenüber Kontaktwärme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Test bei 300 °C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Mittelfußschutz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 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Knöchelschutz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 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CR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Schnittfestigkeit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 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SRA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Rutschhemmung auf Keramikfliesen/Reinigungsmittel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 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SRB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Rutschhemmung auf Stahlplatte/Glycerin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 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SRC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SRA + SRB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 </w:t>
            </w:r>
          </w:p>
        </w:tc>
      </w:tr>
    </w:tbl>
    <w:p w:rsidR="005C54AB" w:rsidRPr="005C54AB" w:rsidRDefault="005C54AB" w:rsidP="005C54AB">
      <w:pPr>
        <w:spacing w:after="150"/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</w:pP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t xml:space="preserve">Es wird nur vor den Gefahren geschützt, die auf dem Schuh entsprechend gekennzeichnet sind. </w:t>
      </w:r>
      <w:r w:rsidRPr="005C54AB">
        <w:rPr>
          <w:rFonts w:ascii="OpenSansLight" w:eastAsia="Times New Roman" w:hAnsi="OpenSansLight" w:cs="Arial"/>
          <w:color w:val="000000"/>
          <w:sz w:val="23"/>
          <w:szCs w:val="23"/>
          <w:lang w:eastAsia="de-DE"/>
        </w:rPr>
        <w:br/>
        <w:t>Die häufigsten Anforderungen sind bereits in folgenden Schutzklassen zusammengefasst: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3258"/>
        <w:gridCol w:w="1385"/>
        <w:gridCol w:w="1384"/>
        <w:gridCol w:w="1384"/>
      </w:tblGrid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  <w:t>Kategorie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  <w:t>Grundanforderung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  <w:t>Zusatzanforderung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SB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 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S1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Geschlossener Fersenbereich, Antistatik, Energieaufnahmevermögen im Fersenbereich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S2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Wie S1, zusätzlich Wasserdurchtritt und -aufnahme des Schuhoberteils</w:t>
            </w:r>
          </w:p>
        </w:tc>
      </w:tr>
      <w:tr w:rsidR="005C54AB" w:rsidRPr="005C54AB" w:rsidTr="005C54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S3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 xml:space="preserve">Wie S2, zusätzlich </w:t>
            </w:r>
            <w:proofErr w:type="spellStart"/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Durchtrittssicherheit</w:t>
            </w:r>
            <w:proofErr w:type="spellEnd"/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, profilierte Laufsohle</w:t>
            </w:r>
          </w:p>
        </w:tc>
      </w:tr>
      <w:tr w:rsidR="005C54AB" w:rsidRPr="005C54AB" w:rsidTr="005C54AB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  <w:t>Sicherheitsschuhe EN ISO 20345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  <w:t>S1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  <w:t>S2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b/>
                <w:bCs/>
                <w:color w:val="000000"/>
                <w:sz w:val="23"/>
                <w:szCs w:val="23"/>
                <w:lang w:eastAsia="de-DE"/>
              </w:rPr>
              <w:t>S3</w:t>
            </w:r>
          </w:p>
        </w:tc>
      </w:tr>
      <w:tr w:rsidR="005C54AB" w:rsidRPr="005C54AB" w:rsidTr="005C54AB"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Eigenschaften</w:t>
            </w:r>
          </w:p>
        </w:tc>
      </w:tr>
      <w:tr w:rsidR="005C54AB" w:rsidRPr="005C54AB" w:rsidTr="005C54AB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Grundanforderung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</w:tr>
      <w:tr w:rsidR="005C54AB" w:rsidRPr="005C54AB" w:rsidTr="005C54AB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Geschlossener Fersenbereich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</w:tr>
      <w:tr w:rsidR="005C54AB" w:rsidRPr="005C54AB" w:rsidTr="005C54AB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Kraftstoffbeständigkeit der Sohle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</w:tr>
      <w:tr w:rsidR="005C54AB" w:rsidRPr="005C54AB" w:rsidTr="005C54AB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Antistatische Eigenschaften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</w:tr>
      <w:tr w:rsidR="005C54AB" w:rsidRPr="005C54AB" w:rsidTr="005C54AB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lastRenderedPageBreak/>
              <w:t>Energieaufnahmevermögen im Fersenbereich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</w:tr>
      <w:tr w:rsidR="005C54AB" w:rsidRPr="005C54AB" w:rsidTr="005C54AB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Wasserdurchtritt/-aufnahme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</w:tr>
      <w:tr w:rsidR="005C54AB" w:rsidRPr="005C54AB" w:rsidTr="005C54AB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Durchtrittsicherheit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</w:tr>
      <w:tr w:rsidR="005C54AB" w:rsidRPr="005C54AB" w:rsidTr="005C54AB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  <w:t>Profilierte Laufsohle</w:t>
            </w:r>
          </w:p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highlight w:val="yellow"/>
                <w:lang w:eastAsia="de-DE"/>
              </w:rPr>
              <w:t xml:space="preserve">ACHTUNG: bei den unteren beiden Blöcken fehlen die Haken. Hier die korrekte Ansicht als </w:t>
            </w:r>
            <w:proofErr w:type="spellStart"/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highlight w:val="yellow"/>
                <w:lang w:eastAsia="de-DE"/>
              </w:rPr>
              <w:t>Screenshoot</w:t>
            </w:r>
            <w:proofErr w:type="spellEnd"/>
            <w:r w:rsidRPr="005C54AB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highlight w:val="yellow"/>
                <w:lang w:eastAsia="de-DE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4AB" w:rsidRPr="005C54AB" w:rsidRDefault="005C54AB" w:rsidP="005C54AB">
            <w:pPr>
              <w:spacing w:after="300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  <w:lang w:eastAsia="de-DE"/>
              </w:rPr>
            </w:pPr>
          </w:p>
        </w:tc>
      </w:tr>
    </w:tbl>
    <w:p w:rsidR="00CA4665" w:rsidRDefault="00CA4665">
      <w:r>
        <w:rPr>
          <w:noProof/>
          <w:lang w:eastAsia="de-DE"/>
        </w:rPr>
        <w:drawing>
          <wp:inline distT="0" distB="0" distL="0" distR="0" wp14:anchorId="641BE61A" wp14:editId="1D574C9D">
            <wp:extent cx="5760720" cy="324048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665" w:rsidRDefault="00CA4665"/>
    <w:p w:rsidR="006E3486" w:rsidRDefault="006E3486"/>
    <w:p w:rsidR="00CA4665" w:rsidRPr="00CA4665" w:rsidRDefault="00CA4665" w:rsidP="00CA4665">
      <w:pPr>
        <w:spacing w:before="100" w:beforeAutospacing="1" w:after="100" w:afterAutospacing="1"/>
        <w:rPr>
          <w:rFonts w:ascii="OpenSansLight" w:eastAsia="Times New Roman" w:hAnsi="OpenSansLight" w:cs="Helvetica"/>
          <w:color w:val="000000"/>
          <w:sz w:val="23"/>
          <w:szCs w:val="23"/>
          <w:lang w:val="en-US" w:eastAsia="de-DE"/>
        </w:rPr>
      </w:pPr>
      <w:r w:rsidRPr="00CA4665">
        <w:rPr>
          <w:rFonts w:ascii="OpenSansLight" w:eastAsia="Times New Roman" w:hAnsi="OpenSansLight" w:cs="Helvetica"/>
          <w:color w:val="000000"/>
          <w:sz w:val="23"/>
          <w:szCs w:val="23"/>
          <w:lang w:val="en-US" w:eastAsia="de-DE"/>
        </w:rPr>
        <w:t>Copyright by Baak GmbH &amp; Co. KG</w:t>
      </w:r>
    </w:p>
    <w:p w:rsidR="00CA4665" w:rsidRDefault="00CA4665"/>
    <w:sectPr w:rsidR="00CA46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E2D"/>
    <w:multiLevelType w:val="multilevel"/>
    <w:tmpl w:val="258A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55F02"/>
    <w:multiLevelType w:val="multilevel"/>
    <w:tmpl w:val="566C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524F3"/>
    <w:multiLevelType w:val="multilevel"/>
    <w:tmpl w:val="67AA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AB"/>
    <w:rsid w:val="005C54AB"/>
    <w:rsid w:val="006E3486"/>
    <w:rsid w:val="00C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4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4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465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  <w:div w:id="16738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Müller</dc:creator>
  <cp:lastModifiedBy>Ralph Müller</cp:lastModifiedBy>
  <cp:revision>2</cp:revision>
  <dcterms:created xsi:type="dcterms:W3CDTF">2015-09-15T09:59:00Z</dcterms:created>
  <dcterms:modified xsi:type="dcterms:W3CDTF">2015-09-18T09:21:00Z</dcterms:modified>
</cp:coreProperties>
</file>